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88098" w14:textId="5E777D93" w:rsidR="008B3DB4" w:rsidRPr="008B3DB4" w:rsidRDefault="008B3DB4" w:rsidP="008B3DB4">
      <w:pPr>
        <w:spacing w:after="0" w:line="360" w:lineRule="auto"/>
        <w:rPr>
          <w:sz w:val="20"/>
          <w:szCs w:val="20"/>
          <w:lang w:val="en-AU"/>
        </w:rPr>
      </w:pPr>
      <w:r w:rsidRPr="00CF4405">
        <w:rPr>
          <w:rFonts w:ascii="Calibri" w:hAnsi="Calibri" w:cs="Calibri"/>
          <w:b/>
          <w:bCs/>
          <w:sz w:val="40"/>
          <w:szCs w:val="40"/>
          <w:lang w:val="en-AU"/>
        </w:rPr>
        <w:t>THEREWITH Project</w:t>
      </w:r>
      <w:r w:rsidRPr="00CF4405">
        <w:rPr>
          <w:sz w:val="20"/>
          <w:szCs w:val="20"/>
        </w:rPr>
        <w:t xml:space="preserve"> </w:t>
      </w:r>
      <w:r w:rsidRPr="008B3DB4">
        <w:rPr>
          <w:sz w:val="20"/>
          <w:szCs w:val="20"/>
          <w:lang w:val="en-AU"/>
        </w:rPr>
        <w:t xml:space="preserve">- </w:t>
      </w:r>
      <w:r w:rsidRPr="00CF4405">
        <w:rPr>
          <w:rFonts w:ascii="Calibri" w:hAnsi="Calibri" w:cs="Calibri"/>
        </w:rPr>
        <w:t>Promoting Rights and Values for People with Mobility Challenges</w:t>
      </w:r>
    </w:p>
    <w:tbl>
      <w:tblPr>
        <w:tblStyle w:val="GridTable2-Accent5"/>
        <w:tblW w:w="0" w:type="auto"/>
        <w:tblLook w:val="04A0" w:firstRow="1" w:lastRow="0" w:firstColumn="1" w:lastColumn="0" w:noHBand="0" w:noVBand="1"/>
      </w:tblPr>
      <w:tblGrid>
        <w:gridCol w:w="10070"/>
      </w:tblGrid>
      <w:tr w:rsidR="000F20EA" w:rsidRPr="000F20EA" w14:paraId="3B263972" w14:textId="77777777" w:rsidTr="00DF1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07F58160" w14:textId="77777777" w:rsidR="000F20EA" w:rsidRPr="008B3DB4" w:rsidRDefault="000F20EA" w:rsidP="000F20EA">
            <w:pPr>
              <w:spacing w:after="80" w:line="360" w:lineRule="auto"/>
              <w:rPr>
                <w:rFonts w:ascii="Calibri" w:hAnsi="Calibri" w:cs="Calibri"/>
                <w:sz w:val="10"/>
                <w:szCs w:val="10"/>
                <w:lang w:val="en-AU"/>
              </w:rPr>
            </w:pPr>
          </w:p>
          <w:p w14:paraId="78DC6BF3" w14:textId="26D22890" w:rsidR="000F20EA" w:rsidRPr="000F20EA" w:rsidRDefault="008B3DB4" w:rsidP="000F20EA">
            <w:pPr>
              <w:spacing w:after="80" w:line="360" w:lineRule="auto"/>
              <w:rPr>
                <w:rFonts w:ascii="Calibri" w:hAnsi="Calibri" w:cs="Calibri"/>
                <w:b w:val="0"/>
                <w:bCs w:val="0"/>
                <w:lang w:val="en-AU"/>
              </w:rPr>
            </w:pPr>
            <w:r w:rsidRPr="00CF4405">
              <w:rPr>
                <w:rFonts w:ascii="Calibri" w:hAnsi="Calibri" w:cs="Calibri"/>
                <w:sz w:val="28"/>
                <w:szCs w:val="28"/>
              </w:rPr>
              <w:t>Newsletter:</w:t>
            </w:r>
          </w:p>
        </w:tc>
      </w:tr>
    </w:tbl>
    <w:p w14:paraId="4476A11B" w14:textId="77777777" w:rsidR="000F20EA" w:rsidRPr="000F20EA" w:rsidRDefault="000F20EA" w:rsidP="000F20EA">
      <w:pPr>
        <w:spacing w:after="0" w:line="360" w:lineRule="auto"/>
        <w:jc w:val="both"/>
        <w:rPr>
          <w:rFonts w:ascii="Calibri" w:hAnsi="Calibri" w:cs="Calibri"/>
          <w:sz w:val="10"/>
          <w:szCs w:val="10"/>
          <w:lang w:val="el-GR"/>
        </w:rPr>
      </w:pPr>
    </w:p>
    <w:p w14:paraId="6DB72E22" w14:textId="77777777" w:rsidR="008B3DB4" w:rsidRPr="00CF4405" w:rsidRDefault="008B3DB4" w:rsidP="008B3DB4">
      <w:pPr>
        <w:spacing w:after="0" w:line="360" w:lineRule="auto"/>
        <w:jc w:val="both"/>
        <w:rPr>
          <w:rFonts w:ascii="Calibri" w:hAnsi="Calibri" w:cs="Calibri"/>
        </w:rPr>
      </w:pPr>
      <w:r w:rsidRPr="00CF4405">
        <w:rPr>
          <w:rFonts w:ascii="Calibri" w:hAnsi="Calibri" w:cs="Calibri"/>
        </w:rPr>
        <w:t>Dear Members and Stakeholders,</w:t>
      </w:r>
    </w:p>
    <w:p w14:paraId="2771C950" w14:textId="77777777" w:rsidR="008B3DB4" w:rsidRPr="00CF4405" w:rsidRDefault="008B3DB4" w:rsidP="008B3DB4">
      <w:pPr>
        <w:spacing w:after="0" w:line="360" w:lineRule="auto"/>
        <w:jc w:val="both"/>
        <w:rPr>
          <w:rFonts w:ascii="Calibri" w:hAnsi="Calibri" w:cs="Calibri"/>
          <w:sz w:val="8"/>
          <w:szCs w:val="8"/>
        </w:rPr>
      </w:pPr>
    </w:p>
    <w:p w14:paraId="044CADE9" w14:textId="585682C6" w:rsidR="008B3DB4" w:rsidRDefault="008B3DB4" w:rsidP="000F20EA">
      <w:pPr>
        <w:spacing w:after="0" w:line="360" w:lineRule="auto"/>
        <w:jc w:val="both"/>
        <w:rPr>
          <w:rFonts w:ascii="Calibri" w:hAnsi="Calibri" w:cs="Calibri"/>
        </w:rPr>
      </w:pPr>
      <w:r w:rsidRPr="00CF4405">
        <w:rPr>
          <w:rFonts w:ascii="Calibri" w:hAnsi="Calibri" w:cs="Calibri"/>
        </w:rPr>
        <w:t>We are delighted to announce the official kickoff of the THEREWITH project</w:t>
      </w:r>
      <w:r w:rsidRPr="008B3DB4">
        <w:rPr>
          <w:rFonts w:ascii="Calibri" w:hAnsi="Calibri" w:cs="Calibri"/>
          <w:lang w:val="en-AU"/>
        </w:rPr>
        <w:t xml:space="preserve"> </w:t>
      </w:r>
      <w:r>
        <w:rPr>
          <w:rFonts w:ascii="Calibri" w:hAnsi="Calibri" w:cs="Calibri"/>
        </w:rPr>
        <w:t xml:space="preserve">which </w:t>
      </w:r>
      <w:r w:rsidRPr="008B3DB4">
        <w:rPr>
          <w:rFonts w:ascii="Calibri" w:hAnsi="Calibri" w:cs="Calibri"/>
        </w:rPr>
        <w:t>aims to empower individuals with mobility challenges and promote their rights and values across Cyprus.</w:t>
      </w:r>
    </w:p>
    <w:p w14:paraId="12487907" w14:textId="77777777" w:rsidR="004270D0" w:rsidRDefault="004270D0" w:rsidP="000F20EA">
      <w:pPr>
        <w:spacing w:after="0" w:line="360" w:lineRule="auto"/>
        <w:jc w:val="both"/>
        <w:rPr>
          <w:rFonts w:ascii="Calibri" w:hAnsi="Calibri" w:cs="Calibri"/>
        </w:rPr>
      </w:pPr>
    </w:p>
    <w:p w14:paraId="4CD816A9" w14:textId="0157CEF3" w:rsidR="008B3DB4" w:rsidRPr="008B3DB4" w:rsidRDefault="008B3DB4" w:rsidP="000F20EA">
      <w:pPr>
        <w:spacing w:after="0" w:line="360" w:lineRule="auto"/>
        <w:jc w:val="both"/>
        <w:rPr>
          <w:rFonts w:ascii="Calibri" w:hAnsi="Calibri" w:cs="Calibri"/>
        </w:rPr>
      </w:pPr>
      <w:r w:rsidRPr="008B3DB4">
        <w:rPr>
          <w:rFonts w:ascii="Calibri" w:hAnsi="Calibri" w:cs="Calibri"/>
        </w:rPr>
        <w:t>The THEREWITH project is implemented within the framework of the BUILD program, with the Cyprus Paraplegic Organization (OPAK) as the implementing body.  The programme ‘Building a robust and democratic civic space’ (BUILD) aims to protect, promote and raise awareness of EU fundamental rights &amp; values by supporting civil society organisations (CSOs) in Greece &amp; Cyprus and by increasing their capacity and sustainability. BUILD is co-funded by the European Union</w:t>
      </w:r>
      <w:r>
        <w:rPr>
          <w:rFonts w:ascii="Calibri" w:hAnsi="Calibri" w:cs="Calibri"/>
        </w:rPr>
        <w:t xml:space="preserve">, </w:t>
      </w:r>
      <w:r w:rsidRPr="008B3DB4">
        <w:rPr>
          <w:rFonts w:ascii="Calibri" w:hAnsi="Calibri" w:cs="Calibri"/>
        </w:rPr>
        <w:t>through the Citizens, Equality, Rights, and Values (CERV) program, and by the Bodossaki Foundation and</w:t>
      </w:r>
      <w:r w:rsidRPr="008B3DB4">
        <w:t xml:space="preserve"> </w:t>
      </w:r>
      <w:r w:rsidRPr="008B3DB4">
        <w:rPr>
          <w:rFonts w:ascii="Calibri" w:hAnsi="Calibri" w:cs="Calibri"/>
        </w:rPr>
        <w:t>Cyprus NGO Support Centre, with a total grant amounting to €2.9 million.</w:t>
      </w:r>
      <w:r>
        <w:rPr>
          <w:rFonts w:ascii="Calibri" w:hAnsi="Calibri" w:cs="Calibri"/>
        </w:rPr>
        <w:t xml:space="preserve"> </w:t>
      </w:r>
      <w:r w:rsidRPr="008B3DB4">
        <w:rPr>
          <w:rFonts w:ascii="Calibri" w:hAnsi="Calibri" w:cs="Calibri"/>
        </w:rPr>
        <w:t>The coordinator of BUILD is the Bodossaki Foundation (Greece) in partnership with the NGO Support Center (Cyprus).</w:t>
      </w:r>
    </w:p>
    <w:p w14:paraId="2438C71D" w14:textId="77777777" w:rsidR="000F20EA" w:rsidRPr="008B3DB4" w:rsidRDefault="000F20EA" w:rsidP="000F20EA">
      <w:pPr>
        <w:spacing w:after="0" w:line="360" w:lineRule="auto"/>
        <w:jc w:val="both"/>
        <w:rPr>
          <w:rFonts w:ascii="Calibri" w:hAnsi="Calibri" w:cs="Calibri"/>
          <w:sz w:val="10"/>
          <w:szCs w:val="10"/>
          <w:lang w:val="en-AU"/>
        </w:rPr>
      </w:pPr>
    </w:p>
    <w:p w14:paraId="794FEC62" w14:textId="77777777" w:rsidR="004270D0" w:rsidRPr="00CF4405" w:rsidRDefault="004270D0" w:rsidP="004270D0">
      <w:pPr>
        <w:spacing w:after="0" w:line="360" w:lineRule="auto"/>
        <w:jc w:val="both"/>
        <w:rPr>
          <w:rFonts w:ascii="Calibri" w:hAnsi="Calibri" w:cs="Calibri"/>
        </w:rPr>
      </w:pPr>
      <w:r w:rsidRPr="00CF4405">
        <w:rPr>
          <w:rFonts w:ascii="Calibri" w:hAnsi="Calibri" w:cs="Calibri"/>
        </w:rPr>
        <w:t>The primary objectives of THEREWITH include:</w:t>
      </w:r>
    </w:p>
    <w:p w14:paraId="0A2C6B82"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b/>
          <w:bCs/>
          <w:sz w:val="22"/>
          <w:szCs w:val="22"/>
          <w:lang w:val="en-AU"/>
        </w:rPr>
        <w:t>Enhance Awareness and Knowledge of EU Rights and Values:</w:t>
      </w:r>
      <w:r w:rsidRPr="00CF4405">
        <w:rPr>
          <w:rFonts w:ascii="Calibri" w:hAnsi="Calibri" w:cs="Calibri"/>
          <w:sz w:val="22"/>
          <w:szCs w:val="22"/>
          <w:lang w:val="en-AU"/>
        </w:rPr>
        <w:t xml:space="preserve"> Our goal is to increase awareness and understanding of EU rights and values among individuals facing mobility challenges in Cyprus. </w:t>
      </w:r>
    </w:p>
    <w:p w14:paraId="65251019"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b/>
          <w:bCs/>
          <w:sz w:val="22"/>
          <w:szCs w:val="22"/>
          <w:lang w:val="en-AU"/>
        </w:rPr>
        <w:t>Improve Access to Services and Support Mechanisms:</w:t>
      </w:r>
      <w:r w:rsidRPr="00CF4405">
        <w:rPr>
          <w:rFonts w:ascii="Calibri" w:hAnsi="Calibri" w:cs="Calibri"/>
          <w:sz w:val="22"/>
          <w:szCs w:val="22"/>
          <w:lang w:val="en-AU"/>
        </w:rPr>
        <w:t xml:space="preserve"> We are committed to </w:t>
      </w:r>
      <w:r>
        <w:rPr>
          <w:rFonts w:ascii="Calibri" w:hAnsi="Calibri" w:cs="Calibri"/>
          <w:sz w:val="22"/>
          <w:szCs w:val="22"/>
          <w:lang w:val="en-AU"/>
        </w:rPr>
        <w:t>advocate for facilitation of</w:t>
      </w:r>
      <w:r w:rsidRPr="00CF4405">
        <w:rPr>
          <w:rFonts w:ascii="Calibri" w:hAnsi="Calibri" w:cs="Calibri"/>
          <w:sz w:val="22"/>
          <w:szCs w:val="22"/>
          <w:lang w:val="en-AU"/>
        </w:rPr>
        <w:t xml:space="preserve"> access to essential services and support mechanisms for individuals with mobility challenges.</w:t>
      </w:r>
    </w:p>
    <w:p w14:paraId="59E77FEC"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b/>
          <w:bCs/>
          <w:sz w:val="22"/>
          <w:szCs w:val="22"/>
          <w:lang w:val="en-AU"/>
        </w:rPr>
        <w:t>Advocate for Stronger Legislative Frameworks and Policy Changes:</w:t>
      </w:r>
      <w:r w:rsidRPr="00CF4405">
        <w:rPr>
          <w:rFonts w:ascii="Calibri" w:hAnsi="Calibri" w:cs="Calibri"/>
          <w:sz w:val="22"/>
          <w:szCs w:val="22"/>
          <w:lang w:val="en-AU"/>
        </w:rPr>
        <w:t xml:space="preserve"> We will launch an advocacy campaign</w:t>
      </w:r>
      <w:r>
        <w:rPr>
          <w:rFonts w:ascii="Calibri" w:hAnsi="Calibri" w:cs="Calibri"/>
          <w:sz w:val="22"/>
          <w:szCs w:val="22"/>
          <w:lang w:val="en-AU"/>
        </w:rPr>
        <w:t xml:space="preserve"> </w:t>
      </w:r>
      <w:r w:rsidRPr="00CF4405">
        <w:rPr>
          <w:rFonts w:ascii="Calibri" w:hAnsi="Calibri" w:cs="Calibri"/>
          <w:sz w:val="22"/>
          <w:szCs w:val="22"/>
          <w:lang w:val="en-AU"/>
        </w:rPr>
        <w:t>to push for comprehensive legislative frameworks that ensure accessibility and equal treatment.</w:t>
      </w:r>
    </w:p>
    <w:p w14:paraId="21236FB5"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b/>
          <w:bCs/>
          <w:sz w:val="22"/>
          <w:szCs w:val="22"/>
          <w:lang w:val="en-AU"/>
        </w:rPr>
        <w:lastRenderedPageBreak/>
        <w:t>Strengthen the Advocacy and Watchdog Role of CSOs:</w:t>
      </w:r>
      <w:r w:rsidRPr="00CF4405">
        <w:rPr>
          <w:rFonts w:ascii="Calibri" w:hAnsi="Calibri" w:cs="Calibri"/>
          <w:sz w:val="22"/>
          <w:szCs w:val="22"/>
          <w:lang w:val="en-AU"/>
        </w:rPr>
        <w:t xml:space="preserve"> Empowering Civil Society Organizations (CSOs) is crucial to our efforts. We will provide resources and networking opportunities to enhance their advocacy capabilities and monitoring roles. </w:t>
      </w:r>
    </w:p>
    <w:p w14:paraId="6781269A" w14:textId="77777777" w:rsidR="004270D0" w:rsidRPr="00FA7CDB" w:rsidRDefault="004270D0" w:rsidP="004270D0">
      <w:pPr>
        <w:spacing w:after="0" w:line="360" w:lineRule="auto"/>
        <w:jc w:val="both"/>
        <w:rPr>
          <w:rFonts w:ascii="Calibri" w:hAnsi="Calibri" w:cs="Calibri"/>
          <w:sz w:val="10"/>
          <w:szCs w:val="10"/>
        </w:rPr>
      </w:pPr>
    </w:p>
    <w:p w14:paraId="60B2D675" w14:textId="77777777" w:rsidR="004270D0" w:rsidRPr="00CF4405" w:rsidRDefault="004270D0" w:rsidP="004270D0">
      <w:pPr>
        <w:spacing w:after="0" w:line="360" w:lineRule="auto"/>
        <w:jc w:val="both"/>
        <w:rPr>
          <w:rFonts w:ascii="Calibri" w:hAnsi="Calibri" w:cs="Calibri"/>
        </w:rPr>
      </w:pPr>
      <w:r w:rsidRPr="00CF4405">
        <w:rPr>
          <w:rFonts w:ascii="Calibri" w:hAnsi="Calibri" w:cs="Calibri"/>
        </w:rPr>
        <w:t>The project will undertake the following activities:</w:t>
      </w:r>
    </w:p>
    <w:p w14:paraId="47DA31A7"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sz w:val="22"/>
          <w:szCs w:val="22"/>
          <w:lang w:val="en-AU"/>
        </w:rPr>
        <w:t>Comprehensive research to identify barriers faced by individuals with mobility challenges in Cyprus.</w:t>
      </w:r>
    </w:p>
    <w:p w14:paraId="18AFA3C5"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sz w:val="22"/>
          <w:szCs w:val="22"/>
          <w:lang w:val="en-AU"/>
        </w:rPr>
        <w:t>Awareness and empowerment workshops to equip participants with knowledge about EU rights and available support services.</w:t>
      </w:r>
    </w:p>
    <w:p w14:paraId="252A76B6" w14:textId="77777777" w:rsidR="004270D0" w:rsidRPr="00CF4405" w:rsidRDefault="004270D0" w:rsidP="004270D0">
      <w:pPr>
        <w:pStyle w:val="ListParagraph"/>
        <w:numPr>
          <w:ilvl w:val="0"/>
          <w:numId w:val="31"/>
        </w:numPr>
        <w:spacing w:line="360" w:lineRule="auto"/>
        <w:jc w:val="both"/>
        <w:rPr>
          <w:rFonts w:ascii="Calibri" w:hAnsi="Calibri" w:cs="Calibri"/>
          <w:sz w:val="22"/>
          <w:szCs w:val="22"/>
          <w:lang w:val="en-AU"/>
        </w:rPr>
      </w:pPr>
      <w:r w:rsidRPr="00CF4405">
        <w:rPr>
          <w:rFonts w:ascii="Calibri" w:hAnsi="Calibri" w:cs="Calibri"/>
          <w:sz w:val="22"/>
          <w:szCs w:val="22"/>
          <w:lang w:val="en-AU"/>
        </w:rPr>
        <w:t>An advocacy campaign featuring an online petition and expert meetings to advocate for policy changes and raise awareness.</w:t>
      </w:r>
    </w:p>
    <w:p w14:paraId="6918FC28" w14:textId="77777777" w:rsidR="004270D0" w:rsidRPr="00FA7CDB" w:rsidRDefault="004270D0" w:rsidP="004270D0">
      <w:pPr>
        <w:spacing w:after="0" w:line="360" w:lineRule="auto"/>
        <w:jc w:val="both"/>
        <w:rPr>
          <w:rFonts w:ascii="Calibri" w:hAnsi="Calibri" w:cs="Calibri"/>
          <w:sz w:val="10"/>
          <w:szCs w:val="10"/>
        </w:rPr>
      </w:pPr>
    </w:p>
    <w:p w14:paraId="7E8E74C7" w14:textId="77777777" w:rsidR="004270D0" w:rsidRPr="00CF4405" w:rsidRDefault="004270D0" w:rsidP="004270D0">
      <w:pPr>
        <w:spacing w:after="0" w:line="360" w:lineRule="auto"/>
        <w:jc w:val="both"/>
        <w:rPr>
          <w:rFonts w:ascii="Calibri" w:hAnsi="Calibri" w:cs="Calibri"/>
        </w:rPr>
      </w:pPr>
      <w:r w:rsidRPr="00CF4405">
        <w:rPr>
          <w:rFonts w:ascii="Calibri" w:hAnsi="Calibri" w:cs="Calibri"/>
        </w:rPr>
        <w:t>The THEREWITH project aims to benefit:</w:t>
      </w:r>
    </w:p>
    <w:p w14:paraId="3A22E5DD" w14:textId="77777777" w:rsidR="004270D0" w:rsidRPr="00CF4405" w:rsidRDefault="004270D0" w:rsidP="004270D0">
      <w:pPr>
        <w:pStyle w:val="ListParagraph"/>
        <w:numPr>
          <w:ilvl w:val="0"/>
          <w:numId w:val="33"/>
        </w:numPr>
        <w:spacing w:line="360" w:lineRule="auto"/>
        <w:jc w:val="both"/>
        <w:rPr>
          <w:rFonts w:ascii="Calibri" w:hAnsi="Calibri" w:cs="Calibri"/>
          <w:sz w:val="22"/>
          <w:szCs w:val="22"/>
          <w:lang w:val="en-AU"/>
        </w:rPr>
      </w:pPr>
      <w:r w:rsidRPr="00CF4405">
        <w:rPr>
          <w:rFonts w:ascii="Calibri" w:hAnsi="Calibri" w:cs="Calibri"/>
          <w:sz w:val="22"/>
          <w:szCs w:val="22"/>
          <w:lang w:val="en-AU"/>
        </w:rPr>
        <w:t>Individuals with mobility challenges and their families</w:t>
      </w:r>
    </w:p>
    <w:p w14:paraId="67D91497" w14:textId="77777777" w:rsidR="004270D0" w:rsidRPr="00CF4405" w:rsidRDefault="004270D0" w:rsidP="004270D0">
      <w:pPr>
        <w:pStyle w:val="ListParagraph"/>
        <w:numPr>
          <w:ilvl w:val="0"/>
          <w:numId w:val="33"/>
        </w:numPr>
        <w:spacing w:line="360" w:lineRule="auto"/>
        <w:jc w:val="both"/>
        <w:rPr>
          <w:rFonts w:ascii="Calibri" w:hAnsi="Calibri" w:cs="Calibri"/>
          <w:sz w:val="22"/>
          <w:szCs w:val="22"/>
        </w:rPr>
      </w:pPr>
      <w:r w:rsidRPr="00CF4405">
        <w:rPr>
          <w:rFonts w:ascii="Calibri" w:hAnsi="Calibri" w:cs="Calibri"/>
          <w:sz w:val="22"/>
          <w:szCs w:val="22"/>
        </w:rPr>
        <w:t>CSOs advocating for disability rights</w:t>
      </w:r>
    </w:p>
    <w:p w14:paraId="0DF7E5BC" w14:textId="77777777" w:rsidR="004270D0" w:rsidRPr="00CF4405" w:rsidRDefault="004270D0" w:rsidP="004270D0">
      <w:pPr>
        <w:pStyle w:val="ListParagraph"/>
        <w:numPr>
          <w:ilvl w:val="0"/>
          <w:numId w:val="33"/>
        </w:numPr>
        <w:spacing w:line="360" w:lineRule="auto"/>
        <w:jc w:val="both"/>
        <w:rPr>
          <w:rFonts w:ascii="Calibri" w:hAnsi="Calibri" w:cs="Calibri"/>
          <w:sz w:val="22"/>
          <w:szCs w:val="22"/>
        </w:rPr>
      </w:pPr>
      <w:r w:rsidRPr="00CF4405">
        <w:rPr>
          <w:rFonts w:ascii="Calibri" w:hAnsi="Calibri" w:cs="Calibri"/>
          <w:sz w:val="22"/>
          <w:szCs w:val="22"/>
        </w:rPr>
        <w:t>Policymakers and government authorities</w:t>
      </w:r>
    </w:p>
    <w:p w14:paraId="7A3520F4" w14:textId="77777777" w:rsidR="004270D0" w:rsidRPr="00CF4405" w:rsidRDefault="004270D0" w:rsidP="004270D0">
      <w:pPr>
        <w:pStyle w:val="ListParagraph"/>
        <w:numPr>
          <w:ilvl w:val="0"/>
          <w:numId w:val="33"/>
        </w:numPr>
        <w:spacing w:line="360" w:lineRule="auto"/>
        <w:jc w:val="both"/>
        <w:rPr>
          <w:rFonts w:ascii="Calibri" w:hAnsi="Calibri" w:cs="Calibri"/>
          <w:sz w:val="22"/>
          <w:szCs w:val="22"/>
          <w:lang w:val="en-AU"/>
        </w:rPr>
      </w:pPr>
      <w:r w:rsidRPr="00CF4405">
        <w:rPr>
          <w:rFonts w:ascii="Calibri" w:hAnsi="Calibri" w:cs="Calibri"/>
          <w:sz w:val="22"/>
          <w:szCs w:val="22"/>
          <w:lang w:val="en-AU"/>
        </w:rPr>
        <w:t>Stakeholders invested in disability rights and inclusion.</w:t>
      </w:r>
    </w:p>
    <w:p w14:paraId="633E31AA" w14:textId="77777777" w:rsidR="004270D0" w:rsidRPr="00CF4405" w:rsidRDefault="004270D0" w:rsidP="004270D0">
      <w:pPr>
        <w:pStyle w:val="ListParagraph"/>
        <w:numPr>
          <w:ilvl w:val="0"/>
          <w:numId w:val="33"/>
        </w:numPr>
        <w:spacing w:line="360" w:lineRule="auto"/>
        <w:jc w:val="both"/>
        <w:rPr>
          <w:rFonts w:ascii="Calibri" w:hAnsi="Calibri" w:cs="Calibri"/>
          <w:sz w:val="22"/>
          <w:szCs w:val="22"/>
          <w:lang w:val="en-AU"/>
        </w:rPr>
      </w:pPr>
      <w:r w:rsidRPr="00CF4405">
        <w:rPr>
          <w:rFonts w:ascii="Calibri" w:hAnsi="Calibri" w:cs="Calibri"/>
          <w:sz w:val="22"/>
          <w:szCs w:val="22"/>
          <w:lang w:val="en-AU"/>
        </w:rPr>
        <w:t>The general public</w:t>
      </w:r>
    </w:p>
    <w:p w14:paraId="64043EDE" w14:textId="77777777" w:rsidR="004270D0" w:rsidRPr="00FA7CDB" w:rsidRDefault="004270D0" w:rsidP="004270D0">
      <w:pPr>
        <w:spacing w:after="0" w:line="360" w:lineRule="auto"/>
        <w:jc w:val="both"/>
        <w:rPr>
          <w:rFonts w:ascii="Calibri" w:hAnsi="Calibri" w:cs="Calibri"/>
          <w:sz w:val="10"/>
          <w:szCs w:val="10"/>
        </w:rPr>
      </w:pPr>
    </w:p>
    <w:p w14:paraId="11ECAB02" w14:textId="77777777" w:rsidR="004270D0" w:rsidRPr="00CF4405" w:rsidRDefault="004270D0" w:rsidP="004270D0">
      <w:pPr>
        <w:spacing w:after="0" w:line="360" w:lineRule="auto"/>
        <w:jc w:val="both"/>
        <w:rPr>
          <w:rFonts w:ascii="Calibri" w:hAnsi="Calibri" w:cs="Calibri"/>
        </w:rPr>
      </w:pPr>
      <w:r w:rsidRPr="00CF4405">
        <w:rPr>
          <w:rFonts w:ascii="Calibri" w:hAnsi="Calibri" w:cs="Calibri"/>
        </w:rPr>
        <w:t>We look forward to working closely with all stakeholders to achieve our goals and create a more inclusive society where everyone, regardless of mobility challenges, can fully participate and thrive.</w:t>
      </w:r>
    </w:p>
    <w:p w14:paraId="3F6935D5" w14:textId="77777777" w:rsidR="004270D0" w:rsidRPr="00FA7CDB" w:rsidRDefault="004270D0" w:rsidP="004270D0">
      <w:pPr>
        <w:spacing w:after="0" w:line="360" w:lineRule="auto"/>
        <w:jc w:val="both"/>
        <w:rPr>
          <w:rFonts w:ascii="Calibri" w:hAnsi="Calibri" w:cs="Calibri"/>
          <w:sz w:val="10"/>
          <w:szCs w:val="10"/>
        </w:rPr>
      </w:pPr>
    </w:p>
    <w:p w14:paraId="4242F882" w14:textId="77777777" w:rsidR="004270D0" w:rsidRPr="00CF4405" w:rsidRDefault="004270D0" w:rsidP="004270D0">
      <w:pPr>
        <w:spacing w:after="0" w:line="360" w:lineRule="auto"/>
        <w:jc w:val="both"/>
        <w:rPr>
          <w:rFonts w:ascii="Calibri" w:hAnsi="Calibri" w:cs="Calibri"/>
        </w:rPr>
      </w:pPr>
      <w:r w:rsidRPr="00CF4405">
        <w:rPr>
          <w:rFonts w:ascii="Calibri" w:hAnsi="Calibri" w:cs="Calibri"/>
        </w:rPr>
        <w:t xml:space="preserve">For more information and updates on the THEREWITH project, please visit OPAK's website </w:t>
      </w:r>
      <w:hyperlink r:id="rId8" w:history="1">
        <w:r w:rsidRPr="00CF4405">
          <w:rPr>
            <w:rStyle w:val="Hyperlink"/>
            <w:rFonts w:ascii="Calibri" w:hAnsi="Calibri" w:cs="Calibri"/>
          </w:rPr>
          <w:t>https://opak.org.cy/</w:t>
        </w:r>
      </w:hyperlink>
      <w:r w:rsidRPr="00CF4405">
        <w:rPr>
          <w:rFonts w:ascii="Calibri" w:hAnsi="Calibri" w:cs="Calibri"/>
        </w:rPr>
        <w:t xml:space="preserve"> or contact us at opak.cyprus@gmail.com.</w:t>
      </w:r>
    </w:p>
    <w:p w14:paraId="1E445BAF" w14:textId="77777777" w:rsidR="004270D0" w:rsidRPr="00FA7CDB" w:rsidRDefault="004270D0" w:rsidP="004270D0">
      <w:pPr>
        <w:spacing w:after="0" w:line="360" w:lineRule="auto"/>
        <w:jc w:val="both"/>
        <w:rPr>
          <w:rFonts w:ascii="Calibri" w:hAnsi="Calibri" w:cs="Calibri"/>
        </w:rPr>
      </w:pPr>
    </w:p>
    <w:p w14:paraId="62F2C596" w14:textId="53201232" w:rsidR="004270D0" w:rsidRPr="00FE0559" w:rsidRDefault="004270D0" w:rsidP="004270D0">
      <w:pPr>
        <w:spacing w:after="0" w:line="360" w:lineRule="auto"/>
        <w:jc w:val="both"/>
        <w:rPr>
          <w:rFonts w:ascii="Calibri" w:hAnsi="Calibri" w:cs="Calibri"/>
        </w:rPr>
      </w:pPr>
      <w:r w:rsidRPr="00CF4405">
        <w:rPr>
          <w:rFonts w:ascii="Calibri" w:hAnsi="Calibri" w:cs="Calibri"/>
        </w:rPr>
        <w:t>Warm regards,</w:t>
      </w:r>
    </w:p>
    <w:p w14:paraId="1692F5E5" w14:textId="77777777" w:rsidR="004270D0" w:rsidRPr="00CF4405" w:rsidRDefault="004270D0" w:rsidP="004270D0">
      <w:pPr>
        <w:spacing w:after="0" w:line="360" w:lineRule="auto"/>
        <w:jc w:val="both"/>
        <w:rPr>
          <w:rFonts w:ascii="Calibri" w:hAnsi="Calibri" w:cs="Calibri"/>
        </w:rPr>
      </w:pPr>
      <w:r w:rsidRPr="00CF4405">
        <w:rPr>
          <w:rFonts w:ascii="Calibri" w:hAnsi="Calibri" w:cs="Calibri"/>
        </w:rPr>
        <w:t>Demetris Lambrianides,</w:t>
      </w:r>
    </w:p>
    <w:p w14:paraId="1EF002F9" w14:textId="77777777" w:rsidR="004270D0" w:rsidRDefault="004270D0" w:rsidP="004270D0">
      <w:pPr>
        <w:spacing w:after="0" w:line="360" w:lineRule="auto"/>
        <w:jc w:val="both"/>
        <w:rPr>
          <w:rFonts w:ascii="Calibri" w:hAnsi="Calibri" w:cs="Calibri"/>
        </w:rPr>
      </w:pPr>
      <w:r w:rsidRPr="00CF4405">
        <w:rPr>
          <w:rFonts w:ascii="Calibri" w:hAnsi="Calibri" w:cs="Calibri"/>
        </w:rPr>
        <w:t>Project Coordinator and OPAK Director</w:t>
      </w:r>
    </w:p>
    <w:p w14:paraId="78AEC772" w14:textId="77777777" w:rsidR="004270D0" w:rsidRPr="00CF4405" w:rsidRDefault="004270D0" w:rsidP="004270D0">
      <w:pPr>
        <w:spacing w:after="0" w:line="360" w:lineRule="auto"/>
        <w:jc w:val="both"/>
        <w:rPr>
          <w:rFonts w:ascii="Calibri" w:hAnsi="Calibri" w:cs="Calibri"/>
        </w:rPr>
      </w:pPr>
      <w:r w:rsidRPr="00CF4405">
        <w:rPr>
          <w:noProof/>
          <w:sz w:val="20"/>
          <w:szCs w:val="20"/>
        </w:rPr>
        <w:lastRenderedPageBreak/>
        <w:drawing>
          <wp:anchor distT="0" distB="0" distL="114300" distR="114300" simplePos="0" relativeHeight="251659264" behindDoc="0" locked="0" layoutInCell="1" allowOverlap="1" wp14:anchorId="4AD9C992" wp14:editId="4F8E9E62">
            <wp:simplePos x="0" y="0"/>
            <wp:positionH relativeFrom="column">
              <wp:posOffset>-1905</wp:posOffset>
            </wp:positionH>
            <wp:positionV relativeFrom="paragraph">
              <wp:posOffset>53980</wp:posOffset>
            </wp:positionV>
            <wp:extent cx="1584960" cy="1602740"/>
            <wp:effectExtent l="0" t="0" r="0" b="0"/>
            <wp:wrapSquare wrapText="bothSides"/>
            <wp:docPr id="1"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flag with yellow sta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0A8B7" w14:textId="77777777" w:rsidR="004270D0" w:rsidRPr="00CF4405" w:rsidRDefault="004270D0" w:rsidP="004270D0">
      <w:pPr>
        <w:spacing w:after="0" w:line="360" w:lineRule="auto"/>
        <w:jc w:val="both"/>
        <w:rPr>
          <w:rFonts w:ascii="Calibri" w:hAnsi="Calibri" w:cs="Calibri"/>
        </w:rPr>
      </w:pPr>
    </w:p>
    <w:p w14:paraId="18D552E5" w14:textId="77777777" w:rsidR="004270D0" w:rsidRPr="004270D0" w:rsidRDefault="004270D0" w:rsidP="004270D0">
      <w:pPr>
        <w:spacing w:after="0" w:line="360" w:lineRule="auto"/>
        <w:jc w:val="both"/>
        <w:rPr>
          <w:rFonts w:ascii="Calibri" w:hAnsi="Calibri" w:cs="Calibri"/>
          <w:sz w:val="20"/>
          <w:szCs w:val="20"/>
        </w:rPr>
      </w:pPr>
      <w:r w:rsidRPr="004270D0">
        <w:rPr>
          <w:rStyle w:val="Emphasis"/>
          <w:rFonts w:ascii="Arial" w:hAnsi="Arial" w:cs="Arial"/>
          <w:color w:val="444444"/>
          <w:sz w:val="16"/>
          <w:szCs w:val="16"/>
          <w:shd w:val="clear" w:color="auto" w:fill="FFFFFF"/>
        </w:rPr>
        <w:t>Funded by the European Union. Views and opinions expressed are however those of the author(s) only and do not necessarily reflect those of the European Union or the European Education and Culture Executive Agency. Neither the European Union nor the granting authority can be held responsible for them.</w:t>
      </w:r>
    </w:p>
    <w:p w14:paraId="29FE79D6" w14:textId="2BE9A645" w:rsidR="00F535A2" w:rsidRPr="004270D0" w:rsidRDefault="00F535A2" w:rsidP="00F535A2">
      <w:pPr>
        <w:spacing w:line="360" w:lineRule="auto"/>
        <w:jc w:val="both"/>
        <w:rPr>
          <w:rFonts w:ascii="Calibri" w:hAnsi="Calibri" w:cs="Calibri"/>
        </w:rPr>
      </w:pPr>
    </w:p>
    <w:p w14:paraId="73E9303F" w14:textId="4C3559D4" w:rsidR="00F535A2" w:rsidRPr="004270D0" w:rsidRDefault="00F535A2" w:rsidP="00F535A2">
      <w:pPr>
        <w:spacing w:line="360" w:lineRule="auto"/>
        <w:jc w:val="both"/>
        <w:rPr>
          <w:rFonts w:ascii="Calibri" w:hAnsi="Calibri" w:cs="Calibri"/>
          <w:lang w:val="en-AU"/>
        </w:rPr>
      </w:pPr>
    </w:p>
    <w:p w14:paraId="3ECF4058" w14:textId="46F8A606" w:rsidR="00F535A2" w:rsidRPr="004270D0" w:rsidRDefault="00F535A2" w:rsidP="00F535A2">
      <w:pPr>
        <w:spacing w:line="360" w:lineRule="auto"/>
        <w:jc w:val="both"/>
        <w:rPr>
          <w:rFonts w:ascii="Calibri" w:hAnsi="Calibri" w:cs="Calibri"/>
          <w:lang w:val="en-AU"/>
        </w:rPr>
      </w:pPr>
    </w:p>
    <w:p w14:paraId="6551EBF6" w14:textId="30B2CEC9" w:rsidR="00F535A2" w:rsidRPr="004270D0" w:rsidRDefault="00F535A2" w:rsidP="00F535A2">
      <w:pPr>
        <w:spacing w:line="360" w:lineRule="auto"/>
        <w:jc w:val="both"/>
        <w:rPr>
          <w:rFonts w:ascii="Calibri" w:hAnsi="Calibri" w:cs="Calibri"/>
          <w:lang w:val="en-AU"/>
        </w:rPr>
      </w:pPr>
    </w:p>
    <w:sectPr w:rsidR="00F535A2" w:rsidRPr="004270D0" w:rsidSect="00CF2753">
      <w:headerReference w:type="default" r:id="rId10"/>
      <w:footerReference w:type="default" r:id="rId11"/>
      <w:pgSz w:w="12240" w:h="15840"/>
      <w:pgMar w:top="1440" w:right="1080" w:bottom="1440" w:left="108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C0C5" w14:textId="77777777" w:rsidR="00F34A7A" w:rsidRDefault="00F34A7A" w:rsidP="00177AEC">
      <w:pPr>
        <w:spacing w:after="0"/>
      </w:pPr>
      <w:r>
        <w:separator/>
      </w:r>
    </w:p>
  </w:endnote>
  <w:endnote w:type="continuationSeparator" w:id="0">
    <w:p w14:paraId="4089E490" w14:textId="77777777" w:rsidR="00F34A7A" w:rsidRDefault="00F34A7A" w:rsidP="00177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72364677"/>
      <w:docPartObj>
        <w:docPartGallery w:val="Page Numbers (Bottom of Page)"/>
        <w:docPartUnique/>
      </w:docPartObj>
    </w:sdtPr>
    <w:sdtEndPr>
      <w:rPr>
        <w:noProof/>
      </w:rPr>
    </w:sdtEndPr>
    <w:sdtContent>
      <w:p w14:paraId="5913BA28" w14:textId="77777777" w:rsidR="000F20EA" w:rsidRDefault="000F20EA" w:rsidP="00F535A2">
        <w:pPr>
          <w:pStyle w:val="Footer"/>
          <w:jc w:val="both"/>
          <w:rPr>
            <w:sz w:val="16"/>
            <w:szCs w:val="16"/>
            <w:lang w:val="el-GR"/>
          </w:rPr>
        </w:pPr>
      </w:p>
      <w:p w14:paraId="5BD22DDD" w14:textId="26A1CE00" w:rsidR="00F535A2" w:rsidRPr="004270D0" w:rsidRDefault="004270D0" w:rsidP="00F535A2">
        <w:pPr>
          <w:pStyle w:val="Footer"/>
          <w:jc w:val="both"/>
          <w:rPr>
            <w:sz w:val="16"/>
            <w:szCs w:val="16"/>
          </w:rPr>
        </w:pPr>
        <w:r>
          <w:rPr>
            <w:sz w:val="16"/>
            <w:szCs w:val="16"/>
          </w:rPr>
          <w:t>Implementing Body</w:t>
        </w:r>
      </w:p>
      <w:p w14:paraId="213C123F" w14:textId="71431557" w:rsidR="00F535A2" w:rsidRDefault="000F20EA" w:rsidP="00F535A2">
        <w:pPr>
          <w:pStyle w:val="Footer"/>
          <w:jc w:val="both"/>
          <w:rPr>
            <w:sz w:val="16"/>
            <w:szCs w:val="16"/>
          </w:rPr>
        </w:pPr>
        <w:r w:rsidRPr="00BC6877">
          <w:rPr>
            <w:noProof/>
            <w:sz w:val="16"/>
            <w:szCs w:val="16"/>
          </w:rPr>
          <w:drawing>
            <wp:anchor distT="0" distB="0" distL="114300" distR="114300" simplePos="0" relativeHeight="251666432" behindDoc="1" locked="0" layoutInCell="1" allowOverlap="1" wp14:anchorId="1DD60B52" wp14:editId="6A0693C9">
              <wp:simplePos x="0" y="0"/>
              <wp:positionH relativeFrom="column">
                <wp:posOffset>3497580</wp:posOffset>
              </wp:positionH>
              <wp:positionV relativeFrom="page">
                <wp:posOffset>8427720</wp:posOffset>
              </wp:positionV>
              <wp:extent cx="2706370" cy="892810"/>
              <wp:effectExtent l="0" t="0" r="0" b="0"/>
              <wp:wrapTight wrapText="bothSides">
                <wp:wrapPolygon edited="0">
                  <wp:start x="8362" y="922"/>
                  <wp:lineTo x="760" y="6913"/>
                  <wp:lineTo x="456" y="18896"/>
                  <wp:lineTo x="19765" y="18896"/>
                  <wp:lineTo x="20830" y="16592"/>
                  <wp:lineTo x="20830" y="8296"/>
                  <wp:lineTo x="13380" y="922"/>
                  <wp:lineTo x="8362" y="922"/>
                </wp:wrapPolygon>
              </wp:wrapTight>
              <wp:docPr id="1643678789" name="Picture 3" descr="A blue logo with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78789" name="Picture 3" descr="A blue logo with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5A2">
          <w:rPr>
            <w:noProof/>
          </w:rPr>
          <w:drawing>
            <wp:anchor distT="0" distB="0" distL="114300" distR="114300" simplePos="0" relativeHeight="251665408" behindDoc="1" locked="0" layoutInCell="1" allowOverlap="1" wp14:anchorId="56B0C779" wp14:editId="4A13C722">
              <wp:simplePos x="0" y="0"/>
              <wp:positionH relativeFrom="column">
                <wp:posOffset>83820</wp:posOffset>
              </wp:positionH>
              <wp:positionV relativeFrom="page">
                <wp:posOffset>8518525</wp:posOffset>
              </wp:positionV>
              <wp:extent cx="808990" cy="808990"/>
              <wp:effectExtent l="0" t="0" r="0" b="0"/>
              <wp:wrapSquare wrapText="bothSides"/>
              <wp:docPr id="354383503" name="Picture 1" descr="A logo with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83503" name="Picture 1" descr="A logo with a person's ha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99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38FAD" w14:textId="201994AA" w:rsidR="00F535A2" w:rsidRDefault="00F535A2" w:rsidP="00F535A2">
        <w:pPr>
          <w:pStyle w:val="Footer"/>
          <w:jc w:val="both"/>
          <w:rPr>
            <w:sz w:val="16"/>
            <w:szCs w:val="16"/>
          </w:rPr>
        </w:pPr>
      </w:p>
      <w:p w14:paraId="617D69A1" w14:textId="1B784A32" w:rsidR="00F535A2" w:rsidRDefault="00F535A2" w:rsidP="00F535A2">
        <w:pPr>
          <w:pStyle w:val="Footer"/>
          <w:jc w:val="both"/>
          <w:rPr>
            <w:sz w:val="16"/>
            <w:szCs w:val="16"/>
          </w:rPr>
        </w:pPr>
      </w:p>
      <w:p w14:paraId="4FD4C347" w14:textId="20C6E19F" w:rsidR="00F535A2" w:rsidRDefault="00F535A2" w:rsidP="00F535A2">
        <w:pPr>
          <w:pStyle w:val="Footer"/>
          <w:jc w:val="both"/>
          <w:rPr>
            <w:sz w:val="16"/>
            <w:szCs w:val="16"/>
          </w:rPr>
        </w:pPr>
      </w:p>
      <w:p w14:paraId="1B6BAAFD" w14:textId="77777777" w:rsidR="00F535A2" w:rsidRDefault="00F535A2" w:rsidP="00F535A2">
        <w:pPr>
          <w:pStyle w:val="Footer"/>
          <w:jc w:val="both"/>
          <w:rPr>
            <w:sz w:val="16"/>
            <w:szCs w:val="16"/>
          </w:rPr>
        </w:pPr>
      </w:p>
      <w:p w14:paraId="5A734EC8" w14:textId="77777777" w:rsidR="00F535A2" w:rsidRDefault="00F535A2" w:rsidP="00F535A2">
        <w:pPr>
          <w:pStyle w:val="Footer"/>
          <w:jc w:val="both"/>
          <w:rPr>
            <w:sz w:val="16"/>
            <w:szCs w:val="16"/>
          </w:rPr>
        </w:pPr>
      </w:p>
      <w:p w14:paraId="0CF88DEF" w14:textId="77777777" w:rsidR="00F535A2" w:rsidRDefault="00F535A2" w:rsidP="00F535A2">
        <w:pPr>
          <w:pStyle w:val="Footer"/>
          <w:jc w:val="both"/>
          <w:rPr>
            <w:sz w:val="16"/>
            <w:szCs w:val="16"/>
          </w:rPr>
        </w:pPr>
      </w:p>
      <w:p w14:paraId="77DCD5BD" w14:textId="48A4F414" w:rsidR="00BC6877" w:rsidRPr="00BC6877" w:rsidRDefault="00BC6877" w:rsidP="00F535A2">
        <w:pPr>
          <w:pStyle w:val="Footer"/>
          <w:jc w:val="both"/>
          <w:rPr>
            <w:sz w:val="16"/>
            <w:szCs w:val="16"/>
          </w:rPr>
        </w:pPr>
      </w:p>
      <w:p w14:paraId="51FCA058" w14:textId="1AF3B992" w:rsidR="00BC6877" w:rsidRPr="00BC6877" w:rsidRDefault="00D73EE0" w:rsidP="00F535A2">
        <w:pPr>
          <w:pStyle w:val="Footer"/>
          <w:jc w:val="right"/>
          <w:rPr>
            <w:sz w:val="16"/>
            <w:szCs w:val="16"/>
          </w:rPr>
        </w:pPr>
        <w:r w:rsidRPr="00BC6877">
          <w:rPr>
            <w:sz w:val="16"/>
            <w:szCs w:val="16"/>
          </w:rPr>
          <w:fldChar w:fldCharType="begin"/>
        </w:r>
        <w:r w:rsidRPr="00BC6877">
          <w:rPr>
            <w:sz w:val="16"/>
            <w:szCs w:val="16"/>
          </w:rPr>
          <w:instrText xml:space="preserve"> PAGE   \* MERGEFORMAT </w:instrText>
        </w:r>
        <w:r w:rsidRPr="00BC6877">
          <w:rPr>
            <w:sz w:val="16"/>
            <w:szCs w:val="16"/>
          </w:rPr>
          <w:fldChar w:fldCharType="separate"/>
        </w:r>
        <w:r w:rsidRPr="00BC6877">
          <w:rPr>
            <w:noProof/>
            <w:sz w:val="16"/>
            <w:szCs w:val="16"/>
          </w:rPr>
          <w:t>2</w:t>
        </w:r>
        <w:r w:rsidRPr="00BC6877">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A03E" w14:textId="77777777" w:rsidR="00F34A7A" w:rsidRDefault="00F34A7A" w:rsidP="00177AEC">
      <w:pPr>
        <w:spacing w:after="0"/>
      </w:pPr>
      <w:r>
        <w:separator/>
      </w:r>
    </w:p>
  </w:footnote>
  <w:footnote w:type="continuationSeparator" w:id="0">
    <w:p w14:paraId="1D233227" w14:textId="77777777" w:rsidR="00F34A7A" w:rsidRDefault="00F34A7A" w:rsidP="00177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A2A" w14:textId="50D86F25" w:rsidR="00B641B2" w:rsidRDefault="00881D51" w:rsidP="00D65200">
    <w:pPr>
      <w:pStyle w:val="Header"/>
      <w:shd w:val="clear" w:color="auto" w:fill="FCBB18"/>
      <w:tabs>
        <w:tab w:val="clear" w:pos="4153"/>
        <w:tab w:val="clear" w:pos="8306"/>
        <w:tab w:val="center" w:pos="5103"/>
        <w:tab w:val="right" w:pos="9923"/>
      </w:tabs>
      <w:ind w:right="157"/>
      <w:rPr>
        <w:b/>
        <w:bCs/>
        <w:sz w:val="24"/>
        <w:szCs w:val="24"/>
        <w:lang w:val="el-GR"/>
      </w:rPr>
    </w:pPr>
    <w:r w:rsidRPr="00CF4405">
      <w:rPr>
        <w:noProof/>
        <w:sz w:val="20"/>
        <w:szCs w:val="20"/>
      </w:rPr>
      <w:drawing>
        <wp:anchor distT="0" distB="0" distL="114300" distR="114300" simplePos="0" relativeHeight="251664384" behindDoc="0" locked="0" layoutInCell="1" allowOverlap="1" wp14:anchorId="70F94681" wp14:editId="1FE385CB">
          <wp:simplePos x="0" y="0"/>
          <wp:positionH relativeFrom="column">
            <wp:posOffset>2221312</wp:posOffset>
          </wp:positionH>
          <wp:positionV relativeFrom="page">
            <wp:posOffset>6478</wp:posOffset>
          </wp:positionV>
          <wp:extent cx="1697231" cy="1697231"/>
          <wp:effectExtent l="0" t="0" r="0" b="0"/>
          <wp:wrapNone/>
          <wp:docPr id="1583963538" name="Picture 2" descr="A logo with people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63538" name="Picture 2" descr="A logo with people around each oth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231" cy="1697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3FCB7" w14:textId="119B2918" w:rsidR="00B641B2" w:rsidRDefault="00B641B2" w:rsidP="00D65200">
    <w:pPr>
      <w:pStyle w:val="Header"/>
      <w:shd w:val="clear" w:color="auto" w:fill="FCBB18"/>
      <w:tabs>
        <w:tab w:val="clear" w:pos="8306"/>
        <w:tab w:val="right" w:pos="9923"/>
      </w:tabs>
      <w:ind w:right="157"/>
      <w:rPr>
        <w:b/>
        <w:bCs/>
        <w:sz w:val="24"/>
        <w:szCs w:val="24"/>
        <w:lang w:val="el-GR"/>
      </w:rPr>
    </w:pPr>
  </w:p>
  <w:p w14:paraId="6D8C17C0" w14:textId="34D0AA90" w:rsidR="00B641B2" w:rsidRDefault="00B641B2" w:rsidP="00D65200">
    <w:pPr>
      <w:pStyle w:val="Header"/>
      <w:shd w:val="clear" w:color="auto" w:fill="FCBB18"/>
      <w:tabs>
        <w:tab w:val="clear" w:pos="8306"/>
        <w:tab w:val="right" w:pos="9923"/>
      </w:tabs>
      <w:ind w:right="157"/>
      <w:rPr>
        <w:b/>
        <w:bCs/>
        <w:sz w:val="24"/>
        <w:szCs w:val="24"/>
        <w:lang w:val="el-GR"/>
      </w:rPr>
    </w:pPr>
  </w:p>
  <w:p w14:paraId="15360D60" w14:textId="325895A7" w:rsidR="00711710" w:rsidRDefault="00711710" w:rsidP="00EC7518">
    <w:pPr>
      <w:pStyle w:val="Header"/>
      <w:shd w:val="clear" w:color="auto" w:fill="FCBB18"/>
      <w:tabs>
        <w:tab w:val="clear" w:pos="8306"/>
        <w:tab w:val="right" w:pos="9923"/>
      </w:tabs>
      <w:ind w:right="157"/>
      <w:rPr>
        <w:b/>
        <w:bCs/>
        <w:sz w:val="24"/>
        <w:szCs w:val="24"/>
        <w:lang w:val="el-GR"/>
      </w:rPr>
    </w:pPr>
  </w:p>
  <w:p w14:paraId="73535D76" w14:textId="154AE98E" w:rsidR="009870D6" w:rsidRDefault="009870D6" w:rsidP="00950AA5">
    <w:pPr>
      <w:pStyle w:val="Header"/>
      <w:tabs>
        <w:tab w:val="clear" w:pos="8306"/>
        <w:tab w:val="right" w:pos="9498"/>
      </w:tabs>
      <w:ind w:right="-858"/>
      <w:rPr>
        <w:b/>
        <w:bCs/>
      </w:rPr>
    </w:pPr>
  </w:p>
  <w:p w14:paraId="6BED260D" w14:textId="75844261" w:rsidR="006A3D23" w:rsidRDefault="006A3D23" w:rsidP="00950AA5">
    <w:pPr>
      <w:pStyle w:val="Header"/>
      <w:tabs>
        <w:tab w:val="clear" w:pos="8306"/>
        <w:tab w:val="right" w:pos="9498"/>
      </w:tabs>
      <w:ind w:right="-858"/>
      <w:rPr>
        <w:b/>
        <w:bCs/>
        <w:lang w:val="el-GR"/>
      </w:rPr>
    </w:pPr>
  </w:p>
  <w:p w14:paraId="0FC7F1B3" w14:textId="77777777" w:rsidR="000F20EA" w:rsidRPr="000F20EA" w:rsidRDefault="000F20EA" w:rsidP="00950AA5">
    <w:pPr>
      <w:pStyle w:val="Header"/>
      <w:tabs>
        <w:tab w:val="clear" w:pos="8306"/>
        <w:tab w:val="right" w:pos="9498"/>
      </w:tabs>
      <w:ind w:right="-858"/>
      <w:rPr>
        <w:b/>
        <w:bC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78C"/>
    <w:multiLevelType w:val="hybridMultilevel"/>
    <w:tmpl w:val="1D4C6D26"/>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E3B7D"/>
    <w:multiLevelType w:val="hybridMultilevel"/>
    <w:tmpl w:val="D16A8FA4"/>
    <w:lvl w:ilvl="0" w:tplc="3EC6B79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661822"/>
    <w:multiLevelType w:val="hybridMultilevel"/>
    <w:tmpl w:val="19D8BE34"/>
    <w:lvl w:ilvl="0" w:tplc="3EC6B79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C71639"/>
    <w:multiLevelType w:val="hybridMultilevel"/>
    <w:tmpl w:val="5CCECCBC"/>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12646"/>
    <w:multiLevelType w:val="hybridMultilevel"/>
    <w:tmpl w:val="1812C778"/>
    <w:lvl w:ilvl="0" w:tplc="80F6ECC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010C86"/>
    <w:multiLevelType w:val="multilevel"/>
    <w:tmpl w:val="05D64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211C03"/>
    <w:multiLevelType w:val="multilevel"/>
    <w:tmpl w:val="C8A296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414E41"/>
    <w:multiLevelType w:val="hybridMultilevel"/>
    <w:tmpl w:val="D0B2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A305B"/>
    <w:multiLevelType w:val="hybridMultilevel"/>
    <w:tmpl w:val="82321B34"/>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9689B"/>
    <w:multiLevelType w:val="hybridMultilevel"/>
    <w:tmpl w:val="80CE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656A2"/>
    <w:multiLevelType w:val="hybridMultilevel"/>
    <w:tmpl w:val="FFA02794"/>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3B0556"/>
    <w:multiLevelType w:val="hybridMultilevel"/>
    <w:tmpl w:val="5F48A07A"/>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B42C48"/>
    <w:multiLevelType w:val="hybridMultilevel"/>
    <w:tmpl w:val="D35E74BE"/>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031A93"/>
    <w:multiLevelType w:val="multilevel"/>
    <w:tmpl w:val="6C8EE4A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A76F4C"/>
    <w:multiLevelType w:val="hybridMultilevel"/>
    <w:tmpl w:val="92DC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A5F8B"/>
    <w:multiLevelType w:val="hybridMultilevel"/>
    <w:tmpl w:val="0EDA253E"/>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406078"/>
    <w:multiLevelType w:val="multilevel"/>
    <w:tmpl w:val="05D64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566869"/>
    <w:multiLevelType w:val="hybridMultilevel"/>
    <w:tmpl w:val="94AA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880D93"/>
    <w:multiLevelType w:val="hybridMultilevel"/>
    <w:tmpl w:val="C5DAB274"/>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E7E65"/>
    <w:multiLevelType w:val="hybridMultilevel"/>
    <w:tmpl w:val="831896F2"/>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67281B"/>
    <w:multiLevelType w:val="hybridMultilevel"/>
    <w:tmpl w:val="6D20C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0346A5"/>
    <w:multiLevelType w:val="hybridMultilevel"/>
    <w:tmpl w:val="E8EA1928"/>
    <w:lvl w:ilvl="0" w:tplc="3EC6B79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3BF06E2"/>
    <w:multiLevelType w:val="hybridMultilevel"/>
    <w:tmpl w:val="964A0C60"/>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4B7B1E"/>
    <w:multiLevelType w:val="hybridMultilevel"/>
    <w:tmpl w:val="B0E00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742765"/>
    <w:multiLevelType w:val="hybridMultilevel"/>
    <w:tmpl w:val="E1E49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CB2465"/>
    <w:multiLevelType w:val="multilevel"/>
    <w:tmpl w:val="05D64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13403D"/>
    <w:multiLevelType w:val="hybridMultilevel"/>
    <w:tmpl w:val="58565228"/>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700D3B"/>
    <w:multiLevelType w:val="hybridMultilevel"/>
    <w:tmpl w:val="9E3A7FF0"/>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6E13FE"/>
    <w:multiLevelType w:val="hybridMultilevel"/>
    <w:tmpl w:val="0A080F72"/>
    <w:lvl w:ilvl="0" w:tplc="3EC6B79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7070EC5"/>
    <w:multiLevelType w:val="hybridMultilevel"/>
    <w:tmpl w:val="4244AEE2"/>
    <w:lvl w:ilvl="0" w:tplc="3EC6B79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7C23255"/>
    <w:multiLevelType w:val="hybridMultilevel"/>
    <w:tmpl w:val="578CE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7B2697"/>
    <w:multiLevelType w:val="hybridMultilevel"/>
    <w:tmpl w:val="F940A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C846DD"/>
    <w:multiLevelType w:val="hybridMultilevel"/>
    <w:tmpl w:val="9AF8BDEE"/>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6583452">
    <w:abstractNumId w:val="25"/>
  </w:num>
  <w:num w:numId="2" w16cid:durableId="463549787">
    <w:abstractNumId w:val="6"/>
  </w:num>
  <w:num w:numId="3" w16cid:durableId="1272514144">
    <w:abstractNumId w:val="13"/>
  </w:num>
  <w:num w:numId="4" w16cid:durableId="1616131344">
    <w:abstractNumId w:val="23"/>
  </w:num>
  <w:num w:numId="5" w16cid:durableId="711424358">
    <w:abstractNumId w:val="5"/>
  </w:num>
  <w:num w:numId="6" w16cid:durableId="961156114">
    <w:abstractNumId w:val="16"/>
  </w:num>
  <w:num w:numId="7" w16cid:durableId="837353888">
    <w:abstractNumId w:val="31"/>
  </w:num>
  <w:num w:numId="8" w16cid:durableId="441731796">
    <w:abstractNumId w:val="24"/>
  </w:num>
  <w:num w:numId="9" w16cid:durableId="708920902">
    <w:abstractNumId w:val="7"/>
  </w:num>
  <w:num w:numId="10" w16cid:durableId="619801797">
    <w:abstractNumId w:val="11"/>
  </w:num>
  <w:num w:numId="11" w16cid:durableId="485366498">
    <w:abstractNumId w:val="28"/>
  </w:num>
  <w:num w:numId="12" w16cid:durableId="478501198">
    <w:abstractNumId w:val="21"/>
  </w:num>
  <w:num w:numId="13" w16cid:durableId="2082017655">
    <w:abstractNumId w:val="17"/>
  </w:num>
  <w:num w:numId="14" w16cid:durableId="273099708">
    <w:abstractNumId w:val="15"/>
  </w:num>
  <w:num w:numId="15" w16cid:durableId="832376161">
    <w:abstractNumId w:val="26"/>
  </w:num>
  <w:num w:numId="16" w16cid:durableId="750859212">
    <w:abstractNumId w:val="12"/>
  </w:num>
  <w:num w:numId="17" w16cid:durableId="1830171330">
    <w:abstractNumId w:val="2"/>
  </w:num>
  <w:num w:numId="18" w16cid:durableId="90517453">
    <w:abstractNumId w:val="1"/>
  </w:num>
  <w:num w:numId="19" w16cid:durableId="961571339">
    <w:abstractNumId w:val="27"/>
  </w:num>
  <w:num w:numId="20" w16cid:durableId="963389492">
    <w:abstractNumId w:val="8"/>
  </w:num>
  <w:num w:numId="21" w16cid:durableId="521629223">
    <w:abstractNumId w:val="29"/>
  </w:num>
  <w:num w:numId="22" w16cid:durableId="247618267">
    <w:abstractNumId w:val="18"/>
  </w:num>
  <w:num w:numId="23" w16cid:durableId="1225218364">
    <w:abstractNumId w:val="3"/>
  </w:num>
  <w:num w:numId="24" w16cid:durableId="2134059700">
    <w:abstractNumId w:val="10"/>
  </w:num>
  <w:num w:numId="25" w16cid:durableId="507865957">
    <w:abstractNumId w:val="22"/>
  </w:num>
  <w:num w:numId="26" w16cid:durableId="1417478951">
    <w:abstractNumId w:val="0"/>
  </w:num>
  <w:num w:numId="27" w16cid:durableId="1029570949">
    <w:abstractNumId w:val="32"/>
  </w:num>
  <w:num w:numId="28" w16cid:durableId="1706440602">
    <w:abstractNumId w:val="19"/>
  </w:num>
  <w:num w:numId="29" w16cid:durableId="872035999">
    <w:abstractNumId w:val="20"/>
  </w:num>
  <w:num w:numId="30" w16cid:durableId="1350597584">
    <w:abstractNumId w:val="4"/>
  </w:num>
  <w:num w:numId="31" w16cid:durableId="1751854303">
    <w:abstractNumId w:val="14"/>
  </w:num>
  <w:num w:numId="32" w16cid:durableId="1175342482">
    <w:abstractNumId w:val="9"/>
  </w:num>
  <w:num w:numId="33" w16cid:durableId="20083647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EC"/>
    <w:rsid w:val="00000E9E"/>
    <w:rsid w:val="00001A52"/>
    <w:rsid w:val="0004740B"/>
    <w:rsid w:val="00085AF2"/>
    <w:rsid w:val="000A5716"/>
    <w:rsid w:val="000E6252"/>
    <w:rsid w:val="000F20EA"/>
    <w:rsid w:val="00105524"/>
    <w:rsid w:val="001548E0"/>
    <w:rsid w:val="00164793"/>
    <w:rsid w:val="00177AEC"/>
    <w:rsid w:val="001856ED"/>
    <w:rsid w:val="00193B58"/>
    <w:rsid w:val="00200B16"/>
    <w:rsid w:val="00205627"/>
    <w:rsid w:val="00246BA5"/>
    <w:rsid w:val="002824AE"/>
    <w:rsid w:val="00283DE1"/>
    <w:rsid w:val="002856DC"/>
    <w:rsid w:val="00296526"/>
    <w:rsid w:val="002E6E67"/>
    <w:rsid w:val="00335521"/>
    <w:rsid w:val="00366B87"/>
    <w:rsid w:val="003F707F"/>
    <w:rsid w:val="00422014"/>
    <w:rsid w:val="004270D0"/>
    <w:rsid w:val="004F36EF"/>
    <w:rsid w:val="00534CA9"/>
    <w:rsid w:val="00547CF8"/>
    <w:rsid w:val="00585B82"/>
    <w:rsid w:val="00593F43"/>
    <w:rsid w:val="005A5F73"/>
    <w:rsid w:val="005C4802"/>
    <w:rsid w:val="005E58EA"/>
    <w:rsid w:val="00640297"/>
    <w:rsid w:val="006755A5"/>
    <w:rsid w:val="006919E4"/>
    <w:rsid w:val="006A3811"/>
    <w:rsid w:val="006A3D23"/>
    <w:rsid w:val="006B34AB"/>
    <w:rsid w:val="00704903"/>
    <w:rsid w:val="00711710"/>
    <w:rsid w:val="007C4B1A"/>
    <w:rsid w:val="008221FA"/>
    <w:rsid w:val="0082235D"/>
    <w:rsid w:val="0082275E"/>
    <w:rsid w:val="00881D51"/>
    <w:rsid w:val="008B3DB4"/>
    <w:rsid w:val="00905989"/>
    <w:rsid w:val="00906C44"/>
    <w:rsid w:val="0091087C"/>
    <w:rsid w:val="00911F4E"/>
    <w:rsid w:val="00926EFF"/>
    <w:rsid w:val="00950AA5"/>
    <w:rsid w:val="009870D6"/>
    <w:rsid w:val="00A42B40"/>
    <w:rsid w:val="00A60FF0"/>
    <w:rsid w:val="00A862A2"/>
    <w:rsid w:val="00B11DEE"/>
    <w:rsid w:val="00B31B73"/>
    <w:rsid w:val="00B54283"/>
    <w:rsid w:val="00B641B2"/>
    <w:rsid w:val="00B74BC0"/>
    <w:rsid w:val="00BC6877"/>
    <w:rsid w:val="00C27DEA"/>
    <w:rsid w:val="00CF2753"/>
    <w:rsid w:val="00CF4405"/>
    <w:rsid w:val="00CF607E"/>
    <w:rsid w:val="00D20F15"/>
    <w:rsid w:val="00D65200"/>
    <w:rsid w:val="00D73EE0"/>
    <w:rsid w:val="00D81518"/>
    <w:rsid w:val="00D979AB"/>
    <w:rsid w:val="00DD2398"/>
    <w:rsid w:val="00E17DFB"/>
    <w:rsid w:val="00E33A31"/>
    <w:rsid w:val="00E83D61"/>
    <w:rsid w:val="00EC7518"/>
    <w:rsid w:val="00EF693C"/>
    <w:rsid w:val="00F31782"/>
    <w:rsid w:val="00F34A7A"/>
    <w:rsid w:val="00F535A2"/>
    <w:rsid w:val="00F62CF0"/>
    <w:rsid w:val="00F86EDA"/>
    <w:rsid w:val="00FA7CDB"/>
    <w:rsid w:val="00FD0CFA"/>
    <w:rsid w:val="00FD74B1"/>
    <w:rsid w:val="00FE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2F91"/>
  <w15:chartTrackingRefBased/>
  <w15:docId w15:val="{CE4E5A5A-991F-4B6A-A61A-3519D187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87"/>
  </w:style>
  <w:style w:type="paragraph" w:styleId="Heading1">
    <w:name w:val="heading 1"/>
    <w:basedOn w:val="Normal"/>
    <w:next w:val="Normal"/>
    <w:link w:val="Heading1Char"/>
    <w:uiPriority w:val="9"/>
    <w:qFormat/>
    <w:rsid w:val="00B641B2"/>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rsid w:val="00B641B2"/>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B641B2"/>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semiHidden/>
    <w:unhideWhenUsed/>
    <w:qFormat/>
    <w:rsid w:val="00B641B2"/>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iPriority w:val="9"/>
    <w:semiHidden/>
    <w:unhideWhenUsed/>
    <w:qFormat/>
    <w:rsid w:val="00B641B2"/>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iPriority w:val="9"/>
    <w:semiHidden/>
    <w:unhideWhenUsed/>
    <w:qFormat/>
    <w:rsid w:val="00B641B2"/>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iPriority w:val="9"/>
    <w:semiHidden/>
    <w:unhideWhenUsed/>
    <w:qFormat/>
    <w:rsid w:val="00B641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41B2"/>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iPriority w:val="9"/>
    <w:semiHidden/>
    <w:unhideWhenUsed/>
    <w:qFormat/>
    <w:rsid w:val="00B641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EC"/>
    <w:pPr>
      <w:tabs>
        <w:tab w:val="center" w:pos="4153"/>
        <w:tab w:val="right" w:pos="8306"/>
      </w:tabs>
      <w:spacing w:after="0"/>
    </w:pPr>
  </w:style>
  <w:style w:type="character" w:customStyle="1" w:styleId="HeaderChar">
    <w:name w:val="Header Char"/>
    <w:basedOn w:val="DefaultParagraphFont"/>
    <w:link w:val="Header"/>
    <w:uiPriority w:val="99"/>
    <w:rsid w:val="00177AEC"/>
    <w:rPr>
      <w:lang w:val="en-AU"/>
    </w:rPr>
  </w:style>
  <w:style w:type="paragraph" w:styleId="Footer">
    <w:name w:val="footer"/>
    <w:basedOn w:val="Normal"/>
    <w:link w:val="FooterChar"/>
    <w:uiPriority w:val="99"/>
    <w:unhideWhenUsed/>
    <w:rsid w:val="00177AEC"/>
    <w:pPr>
      <w:tabs>
        <w:tab w:val="center" w:pos="4153"/>
        <w:tab w:val="right" w:pos="8306"/>
      </w:tabs>
      <w:spacing w:after="0"/>
    </w:pPr>
  </w:style>
  <w:style w:type="character" w:customStyle="1" w:styleId="FooterChar">
    <w:name w:val="Footer Char"/>
    <w:basedOn w:val="DefaultParagraphFont"/>
    <w:link w:val="Footer"/>
    <w:uiPriority w:val="99"/>
    <w:rsid w:val="00177AEC"/>
    <w:rPr>
      <w:lang w:val="en-AU"/>
    </w:rPr>
  </w:style>
  <w:style w:type="character" w:customStyle="1" w:styleId="Heading1Char">
    <w:name w:val="Heading 1 Char"/>
    <w:basedOn w:val="DefaultParagraphFont"/>
    <w:link w:val="Heading1"/>
    <w:uiPriority w:val="9"/>
    <w:rsid w:val="00B641B2"/>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sid w:val="00B641B2"/>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semiHidden/>
    <w:rsid w:val="00B641B2"/>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semiHidden/>
    <w:rsid w:val="00B641B2"/>
    <w:rPr>
      <w:rFonts w:asciiTheme="majorHAnsi" w:eastAsiaTheme="majorEastAsia" w:hAnsiTheme="majorHAnsi" w:cstheme="majorBidi"/>
      <w:b/>
      <w:bCs/>
      <w:i/>
      <w:iCs/>
      <w:color w:val="052F61" w:themeColor="accent1"/>
    </w:rPr>
  </w:style>
  <w:style w:type="character" w:customStyle="1" w:styleId="Heading5Char">
    <w:name w:val="Heading 5 Char"/>
    <w:basedOn w:val="DefaultParagraphFont"/>
    <w:link w:val="Heading5"/>
    <w:uiPriority w:val="9"/>
    <w:semiHidden/>
    <w:rsid w:val="00B641B2"/>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uiPriority w:val="9"/>
    <w:semiHidden/>
    <w:rsid w:val="00B641B2"/>
    <w:rPr>
      <w:rFonts w:asciiTheme="majorHAnsi" w:eastAsiaTheme="majorEastAsia" w:hAnsiTheme="majorHAnsi" w:cstheme="majorBidi"/>
      <w:i/>
      <w:iCs/>
      <w:color w:val="021730" w:themeColor="accent1" w:themeShade="7F"/>
    </w:rPr>
  </w:style>
  <w:style w:type="character" w:customStyle="1" w:styleId="Heading7Char">
    <w:name w:val="Heading 7 Char"/>
    <w:basedOn w:val="DefaultParagraphFont"/>
    <w:link w:val="Heading7"/>
    <w:uiPriority w:val="9"/>
    <w:semiHidden/>
    <w:rsid w:val="00B641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41B2"/>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uiPriority w:val="9"/>
    <w:semiHidden/>
    <w:rsid w:val="00B641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641B2"/>
    <w:rPr>
      <w:b/>
      <w:bCs/>
      <w:color w:val="052F61" w:themeColor="accent1"/>
      <w:sz w:val="18"/>
      <w:szCs w:val="18"/>
    </w:rPr>
  </w:style>
  <w:style w:type="paragraph" w:styleId="Title">
    <w:name w:val="Title"/>
    <w:basedOn w:val="Normal"/>
    <w:next w:val="Normal"/>
    <w:link w:val="TitleChar"/>
    <w:uiPriority w:val="10"/>
    <w:qFormat/>
    <w:rsid w:val="00B641B2"/>
    <w:pPr>
      <w:pBdr>
        <w:bottom w:val="single" w:sz="8" w:space="4" w:color="052F61" w:themeColor="accent1"/>
      </w:pBdr>
      <w:spacing w:after="300"/>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uiPriority w:val="10"/>
    <w:rsid w:val="00B641B2"/>
    <w:rPr>
      <w:rFonts w:asciiTheme="majorHAnsi" w:eastAsiaTheme="majorEastAsia" w:hAnsiTheme="majorHAnsi" w:cstheme="majorBidi"/>
      <w:color w:val="0F486E" w:themeColor="text2" w:themeShade="BF"/>
      <w:spacing w:val="5"/>
      <w:sz w:val="52"/>
      <w:szCs w:val="52"/>
    </w:rPr>
  </w:style>
  <w:style w:type="paragraph" w:styleId="Subtitle">
    <w:name w:val="Subtitle"/>
    <w:basedOn w:val="Normal"/>
    <w:next w:val="Normal"/>
    <w:link w:val="SubtitleChar"/>
    <w:uiPriority w:val="11"/>
    <w:qFormat/>
    <w:rsid w:val="00B641B2"/>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B641B2"/>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B641B2"/>
    <w:rPr>
      <w:b/>
      <w:bCs/>
    </w:rPr>
  </w:style>
  <w:style w:type="character" w:styleId="Emphasis">
    <w:name w:val="Emphasis"/>
    <w:basedOn w:val="DefaultParagraphFont"/>
    <w:uiPriority w:val="20"/>
    <w:qFormat/>
    <w:rsid w:val="00B641B2"/>
    <w:rPr>
      <w:i/>
      <w:iCs/>
    </w:rPr>
  </w:style>
  <w:style w:type="paragraph" w:styleId="NoSpacing">
    <w:name w:val="No Spacing"/>
    <w:uiPriority w:val="1"/>
    <w:qFormat/>
    <w:rsid w:val="00B641B2"/>
    <w:pPr>
      <w:spacing w:after="0"/>
    </w:pPr>
  </w:style>
  <w:style w:type="paragraph" w:styleId="Quote">
    <w:name w:val="Quote"/>
    <w:basedOn w:val="Normal"/>
    <w:next w:val="Normal"/>
    <w:link w:val="QuoteChar"/>
    <w:uiPriority w:val="29"/>
    <w:qFormat/>
    <w:rsid w:val="00B641B2"/>
    <w:rPr>
      <w:i/>
      <w:iCs/>
      <w:color w:val="000000" w:themeColor="text1"/>
    </w:rPr>
  </w:style>
  <w:style w:type="character" w:customStyle="1" w:styleId="QuoteChar">
    <w:name w:val="Quote Char"/>
    <w:basedOn w:val="DefaultParagraphFont"/>
    <w:link w:val="Quote"/>
    <w:uiPriority w:val="29"/>
    <w:rsid w:val="00B641B2"/>
    <w:rPr>
      <w:i/>
      <w:iCs/>
      <w:color w:val="000000" w:themeColor="text1"/>
    </w:rPr>
  </w:style>
  <w:style w:type="paragraph" w:styleId="IntenseQuote">
    <w:name w:val="Intense Quote"/>
    <w:basedOn w:val="Normal"/>
    <w:next w:val="Normal"/>
    <w:link w:val="IntenseQuoteChar"/>
    <w:uiPriority w:val="30"/>
    <w:qFormat/>
    <w:rsid w:val="00B641B2"/>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B641B2"/>
    <w:rPr>
      <w:b/>
      <w:bCs/>
      <w:i/>
      <w:iCs/>
      <w:color w:val="052F61" w:themeColor="accent1"/>
    </w:rPr>
  </w:style>
  <w:style w:type="character" w:styleId="SubtleEmphasis">
    <w:name w:val="Subtle Emphasis"/>
    <w:basedOn w:val="DefaultParagraphFont"/>
    <w:uiPriority w:val="19"/>
    <w:qFormat/>
    <w:rsid w:val="00B641B2"/>
    <w:rPr>
      <w:i/>
      <w:iCs/>
      <w:color w:val="808080" w:themeColor="text1" w:themeTint="7F"/>
    </w:rPr>
  </w:style>
  <w:style w:type="character" w:styleId="IntenseEmphasis">
    <w:name w:val="Intense Emphasis"/>
    <w:basedOn w:val="DefaultParagraphFont"/>
    <w:uiPriority w:val="21"/>
    <w:qFormat/>
    <w:rsid w:val="00B641B2"/>
    <w:rPr>
      <w:b/>
      <w:bCs/>
      <w:i/>
      <w:iCs/>
      <w:color w:val="052F61" w:themeColor="accent1"/>
    </w:rPr>
  </w:style>
  <w:style w:type="character" w:styleId="SubtleReference">
    <w:name w:val="Subtle Reference"/>
    <w:basedOn w:val="DefaultParagraphFont"/>
    <w:uiPriority w:val="31"/>
    <w:qFormat/>
    <w:rsid w:val="00B641B2"/>
    <w:rPr>
      <w:smallCaps/>
      <w:color w:val="A50E82" w:themeColor="accent2"/>
      <w:u w:val="single"/>
    </w:rPr>
  </w:style>
  <w:style w:type="character" w:styleId="IntenseReference">
    <w:name w:val="Intense Reference"/>
    <w:basedOn w:val="DefaultParagraphFont"/>
    <w:uiPriority w:val="32"/>
    <w:qFormat/>
    <w:rsid w:val="00B641B2"/>
    <w:rPr>
      <w:b/>
      <w:bCs/>
      <w:smallCaps/>
      <w:color w:val="A50E82" w:themeColor="accent2"/>
      <w:spacing w:val="5"/>
      <w:u w:val="single"/>
    </w:rPr>
  </w:style>
  <w:style w:type="character" w:styleId="BookTitle">
    <w:name w:val="Book Title"/>
    <w:basedOn w:val="DefaultParagraphFont"/>
    <w:uiPriority w:val="33"/>
    <w:qFormat/>
    <w:rsid w:val="00B641B2"/>
    <w:rPr>
      <w:b/>
      <w:bCs/>
      <w:smallCaps/>
      <w:spacing w:val="5"/>
    </w:rPr>
  </w:style>
  <w:style w:type="paragraph" w:styleId="TOCHeading">
    <w:name w:val="TOC Heading"/>
    <w:basedOn w:val="Heading1"/>
    <w:next w:val="Normal"/>
    <w:uiPriority w:val="39"/>
    <w:semiHidden/>
    <w:unhideWhenUsed/>
    <w:qFormat/>
    <w:rsid w:val="00B641B2"/>
    <w:pPr>
      <w:outlineLvl w:val="9"/>
    </w:pPr>
  </w:style>
  <w:style w:type="table" w:styleId="TableGrid">
    <w:name w:val="Table Grid"/>
    <w:basedOn w:val="TableNormal"/>
    <w:uiPriority w:val="59"/>
    <w:rsid w:val="00193B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193B58"/>
    <w:pPr>
      <w:spacing w:after="0"/>
    </w:pPr>
    <w:rPr>
      <w:color w:val="C05916" w:themeColor="accent5" w:themeShade="BF"/>
    </w:rPr>
    <w:tblPr>
      <w:tblStyleRowBandSize w:val="1"/>
      <w:tblStyleColBandSize w:val="1"/>
      <w:tblBorders>
        <w:top w:val="single" w:sz="4" w:space="0" w:color="E87D37" w:themeColor="accent5"/>
        <w:bottom w:val="single" w:sz="4" w:space="0" w:color="E87D37" w:themeColor="accent5"/>
      </w:tblBorders>
    </w:tblPr>
    <w:tblStylePr w:type="firstRow">
      <w:rPr>
        <w:b/>
        <w:bCs/>
      </w:rPr>
      <w:tblPr/>
      <w:tcPr>
        <w:tcBorders>
          <w:bottom w:val="single" w:sz="4" w:space="0" w:color="E87D37" w:themeColor="accent5"/>
        </w:tcBorders>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paragraph" w:styleId="ListParagraph">
    <w:name w:val="List Paragraph"/>
    <w:aliases w:val="Foot note,Bullet Points,Liste Paragraf"/>
    <w:basedOn w:val="Normal"/>
    <w:link w:val="ListParagraphChar"/>
    <w:uiPriority w:val="34"/>
    <w:qFormat/>
    <w:rsid w:val="008221FA"/>
    <w:pPr>
      <w:spacing w:after="0"/>
      <w:ind w:left="720"/>
      <w:contextualSpacing/>
    </w:pPr>
    <w:rPr>
      <w:rFonts w:ascii="Times New Roman" w:eastAsia="Calibri" w:hAnsi="Times New Roman" w:cs="Times New Roman"/>
      <w:sz w:val="24"/>
      <w:szCs w:val="24"/>
      <w:lang w:val="el" w:eastAsia="x-none"/>
    </w:rPr>
  </w:style>
  <w:style w:type="character" w:customStyle="1" w:styleId="ListParagraphChar">
    <w:name w:val="List Paragraph Char"/>
    <w:aliases w:val="Foot note Char,Bullet Points Char,Liste Paragraf Char"/>
    <w:link w:val="ListParagraph"/>
    <w:uiPriority w:val="34"/>
    <w:rsid w:val="008221FA"/>
    <w:rPr>
      <w:rFonts w:ascii="Times New Roman" w:eastAsia="Calibri" w:hAnsi="Times New Roman" w:cs="Times New Roman"/>
      <w:sz w:val="24"/>
      <w:szCs w:val="24"/>
      <w:lang w:val="el" w:eastAsia="x-none"/>
    </w:rPr>
  </w:style>
  <w:style w:type="table" w:styleId="GridTable2-Accent5">
    <w:name w:val="Grid Table 2 Accent 5"/>
    <w:basedOn w:val="TableNormal"/>
    <w:uiPriority w:val="47"/>
    <w:rsid w:val="008221FA"/>
    <w:pPr>
      <w:spacing w:after="0"/>
    </w:pPr>
    <w:tblPr>
      <w:tblStyleRowBandSize w:val="1"/>
      <w:tblStyleColBandSize w:val="1"/>
      <w:tblBorders>
        <w:top w:val="single" w:sz="2" w:space="0" w:color="F1B086" w:themeColor="accent5" w:themeTint="99"/>
        <w:bottom w:val="single" w:sz="2" w:space="0" w:color="F1B086" w:themeColor="accent5" w:themeTint="99"/>
        <w:insideH w:val="single" w:sz="2" w:space="0" w:color="F1B086" w:themeColor="accent5" w:themeTint="99"/>
        <w:insideV w:val="single" w:sz="2" w:space="0" w:color="F1B086" w:themeColor="accent5" w:themeTint="99"/>
      </w:tblBorders>
    </w:tblPr>
    <w:tblStylePr w:type="firstRow">
      <w:rPr>
        <w:b/>
        <w:bCs/>
      </w:rPr>
      <w:tblPr/>
      <w:tcPr>
        <w:tcBorders>
          <w:top w:val="nil"/>
          <w:bottom w:val="single" w:sz="12" w:space="0" w:color="F1B086" w:themeColor="accent5" w:themeTint="99"/>
          <w:insideH w:val="nil"/>
          <w:insideV w:val="nil"/>
        </w:tcBorders>
        <w:shd w:val="clear" w:color="auto" w:fill="FFFFFF" w:themeFill="background1"/>
      </w:tcPr>
    </w:tblStylePr>
    <w:tblStylePr w:type="lastRow">
      <w:rPr>
        <w:b/>
        <w:bCs/>
      </w:rPr>
      <w:tblPr/>
      <w:tcPr>
        <w:tcBorders>
          <w:top w:val="double" w:sz="2" w:space="0" w:color="F1B08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styleId="GridTable1Light-Accent5">
    <w:name w:val="Grid Table 1 Light Accent 5"/>
    <w:basedOn w:val="TableNormal"/>
    <w:uiPriority w:val="46"/>
    <w:rsid w:val="002824AE"/>
    <w:pPr>
      <w:spacing w:after="0"/>
    </w:pPr>
    <w:tblPr>
      <w:tblStyleRowBandSize w:val="1"/>
      <w:tblStyleColBandSize w:val="1"/>
      <w:tblBorders>
        <w:top w:val="single" w:sz="4" w:space="0" w:color="F5CAAE" w:themeColor="accent5" w:themeTint="66"/>
        <w:left w:val="single" w:sz="4" w:space="0" w:color="F5CAAE" w:themeColor="accent5" w:themeTint="66"/>
        <w:bottom w:val="single" w:sz="4" w:space="0" w:color="F5CAAE" w:themeColor="accent5" w:themeTint="66"/>
        <w:right w:val="single" w:sz="4" w:space="0" w:color="F5CAAE" w:themeColor="accent5" w:themeTint="66"/>
        <w:insideH w:val="single" w:sz="4" w:space="0" w:color="F5CAAE" w:themeColor="accent5" w:themeTint="66"/>
        <w:insideV w:val="single" w:sz="4" w:space="0" w:color="F5CAAE" w:themeColor="accent5" w:themeTint="66"/>
      </w:tblBorders>
    </w:tblPr>
    <w:tblStylePr w:type="firstRow">
      <w:rPr>
        <w:b/>
        <w:bCs/>
      </w:rPr>
      <w:tblPr/>
      <w:tcPr>
        <w:tcBorders>
          <w:bottom w:val="single" w:sz="12" w:space="0" w:color="F1B086" w:themeColor="accent5" w:themeTint="99"/>
        </w:tcBorders>
      </w:tcPr>
    </w:tblStylePr>
    <w:tblStylePr w:type="lastRow">
      <w:rPr>
        <w:b/>
        <w:bCs/>
      </w:rPr>
      <w:tblPr/>
      <w:tcPr>
        <w:tcBorders>
          <w:top w:val="double" w:sz="2" w:space="0" w:color="F1B086"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74BC0"/>
    <w:rPr>
      <w:color w:val="0D2E46" w:themeColor="hyperlink"/>
      <w:u w:val="single"/>
    </w:rPr>
  </w:style>
  <w:style w:type="character" w:styleId="UnresolvedMention">
    <w:name w:val="Unresolved Mention"/>
    <w:basedOn w:val="DefaultParagraphFont"/>
    <w:uiPriority w:val="99"/>
    <w:semiHidden/>
    <w:unhideWhenUsed/>
    <w:rsid w:val="00B7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0866">
      <w:bodyDiv w:val="1"/>
      <w:marLeft w:val="0"/>
      <w:marRight w:val="0"/>
      <w:marTop w:val="0"/>
      <w:marBottom w:val="0"/>
      <w:divBdr>
        <w:top w:val="none" w:sz="0" w:space="0" w:color="auto"/>
        <w:left w:val="none" w:sz="0" w:space="0" w:color="auto"/>
        <w:bottom w:val="none" w:sz="0" w:space="0" w:color="auto"/>
        <w:right w:val="none" w:sz="0" w:space="0" w:color="auto"/>
      </w:divBdr>
    </w:div>
    <w:div w:id="445471665">
      <w:bodyDiv w:val="1"/>
      <w:marLeft w:val="0"/>
      <w:marRight w:val="0"/>
      <w:marTop w:val="0"/>
      <w:marBottom w:val="0"/>
      <w:divBdr>
        <w:top w:val="none" w:sz="0" w:space="0" w:color="auto"/>
        <w:left w:val="none" w:sz="0" w:space="0" w:color="auto"/>
        <w:bottom w:val="none" w:sz="0" w:space="0" w:color="auto"/>
        <w:right w:val="none" w:sz="0" w:space="0" w:color="auto"/>
      </w:divBdr>
    </w:div>
    <w:div w:id="1166827049">
      <w:bodyDiv w:val="1"/>
      <w:marLeft w:val="0"/>
      <w:marRight w:val="0"/>
      <w:marTop w:val="0"/>
      <w:marBottom w:val="0"/>
      <w:divBdr>
        <w:top w:val="none" w:sz="0" w:space="0" w:color="auto"/>
        <w:left w:val="none" w:sz="0" w:space="0" w:color="auto"/>
        <w:bottom w:val="none" w:sz="0" w:space="0" w:color="auto"/>
        <w:right w:val="none" w:sz="0" w:space="0" w:color="auto"/>
      </w:divBdr>
    </w:div>
    <w:div w:id="18773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k.org.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6988-0AF0-422E-90F4-668EFE63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Symeonidou</dc:creator>
  <cp:keywords/>
  <dc:description/>
  <cp:lastModifiedBy>Anonymous</cp:lastModifiedBy>
  <cp:revision>32</cp:revision>
  <dcterms:created xsi:type="dcterms:W3CDTF">2023-03-31T11:28:00Z</dcterms:created>
  <dcterms:modified xsi:type="dcterms:W3CDTF">2024-06-27T09:57:00Z</dcterms:modified>
</cp:coreProperties>
</file>